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2F7E" w14:textId="70FC6808" w:rsidR="005541CF" w:rsidRDefault="005541CF"/>
    <w:p w14:paraId="1E2FF890" w14:textId="3524CC74" w:rsidR="003356AE" w:rsidRDefault="003356AE">
      <w:pPr>
        <w:rPr>
          <w:b/>
          <w:bCs/>
        </w:rPr>
      </w:pPr>
      <w:r>
        <w:rPr>
          <w:b/>
          <w:bCs/>
        </w:rPr>
        <w:t>Enrollment</w:t>
      </w:r>
    </w:p>
    <w:p w14:paraId="2AF833CF" w14:textId="00A9599E" w:rsidR="007B39CB" w:rsidRDefault="003356AE" w:rsidP="007B39CB">
      <w:pPr>
        <w:pStyle w:val="ListParagraph"/>
        <w:numPr>
          <w:ilvl w:val="0"/>
          <w:numId w:val="1"/>
        </w:numPr>
      </w:pPr>
      <w:r>
        <w:t>Can I back</w:t>
      </w:r>
      <w:r w:rsidR="007B39CB">
        <w:t>-</w:t>
      </w:r>
      <w:r>
        <w:t>date an enrollment?</w:t>
      </w:r>
    </w:p>
    <w:p w14:paraId="26CF3DDD" w14:textId="16682826" w:rsidR="007B39CB" w:rsidRDefault="007B39CB" w:rsidP="007B39CB">
      <w:pPr>
        <w:pStyle w:val="ListParagraph"/>
        <w:numPr>
          <w:ilvl w:val="0"/>
          <w:numId w:val="3"/>
        </w:numPr>
      </w:pPr>
      <w:r>
        <w:t>Yes. Enrollments can be back-dated as far as July 1, 2022, if need be.</w:t>
      </w:r>
    </w:p>
    <w:p w14:paraId="3ECD341D" w14:textId="77777777" w:rsidR="007B39CB" w:rsidRDefault="007B39CB" w:rsidP="007B39CB">
      <w:pPr>
        <w:pStyle w:val="ListParagraph"/>
      </w:pPr>
    </w:p>
    <w:p w14:paraId="67966AFD" w14:textId="4B299498" w:rsidR="007B39CB" w:rsidRDefault="00906705" w:rsidP="007B39CB">
      <w:pPr>
        <w:pStyle w:val="ListParagraph"/>
        <w:numPr>
          <w:ilvl w:val="0"/>
          <w:numId w:val="1"/>
        </w:numPr>
      </w:pPr>
      <w:r>
        <w:t xml:space="preserve">Do I need to enter my program in the “Other Funding Source” field on the Registration Tab if I am the only one working with the </w:t>
      </w:r>
      <w:r w:rsidR="00180C0C">
        <w:t>participant</w:t>
      </w:r>
      <w:r>
        <w:t>.</w:t>
      </w:r>
    </w:p>
    <w:p w14:paraId="0A2D0B0D" w14:textId="4211C3B6" w:rsidR="00906705" w:rsidRDefault="00906705" w:rsidP="00906705">
      <w:pPr>
        <w:pStyle w:val="ListParagraph"/>
        <w:numPr>
          <w:ilvl w:val="0"/>
          <w:numId w:val="3"/>
        </w:numPr>
      </w:pPr>
      <w:r>
        <w:t xml:space="preserve">Yes. Every program needs to be entered into the Other Funding Source field, </w:t>
      </w:r>
      <w:proofErr w:type="gramStart"/>
      <w:r>
        <w:t>whether or not</w:t>
      </w:r>
      <w:proofErr w:type="gramEnd"/>
      <w:r>
        <w:t xml:space="preserve"> it is the only one working with the </w:t>
      </w:r>
      <w:r w:rsidR="0043682E">
        <w:t>participant</w:t>
      </w:r>
      <w:r>
        <w:t xml:space="preserve">. </w:t>
      </w:r>
    </w:p>
    <w:p w14:paraId="5A9F766D" w14:textId="77777777" w:rsidR="00906705" w:rsidRDefault="00906705" w:rsidP="00906705">
      <w:pPr>
        <w:pStyle w:val="ListParagraph"/>
      </w:pPr>
    </w:p>
    <w:p w14:paraId="53E1E50A" w14:textId="0CC1CF32" w:rsidR="00906705" w:rsidRDefault="00906705" w:rsidP="00906705">
      <w:pPr>
        <w:pStyle w:val="ListParagraph"/>
        <w:numPr>
          <w:ilvl w:val="0"/>
          <w:numId w:val="1"/>
        </w:numPr>
      </w:pPr>
      <w:r>
        <w:t xml:space="preserve">Are </w:t>
      </w:r>
      <w:r w:rsidR="0043682E">
        <w:t>participant</w:t>
      </w:r>
      <w:r>
        <w:t xml:space="preserve"> signatures required on the application?</w:t>
      </w:r>
    </w:p>
    <w:p w14:paraId="3CCEE3B6" w14:textId="01B76225" w:rsidR="00906705" w:rsidRDefault="00906705" w:rsidP="00906705">
      <w:pPr>
        <w:pStyle w:val="ListParagraph"/>
        <w:numPr>
          <w:ilvl w:val="0"/>
          <w:numId w:val="3"/>
        </w:numPr>
      </w:pPr>
      <w:r>
        <w:t xml:space="preserve">Yes. If you previously collected the </w:t>
      </w:r>
      <w:r w:rsidR="00845587">
        <w:t>participant’s</w:t>
      </w:r>
      <w:r>
        <w:t xml:space="preserve"> signature on the P10k paper application, you </w:t>
      </w:r>
      <w:proofErr w:type="gramStart"/>
      <w:r>
        <w:t>can</w:t>
      </w:r>
      <w:proofErr w:type="gramEnd"/>
      <w:r>
        <w:t xml:space="preserve"> upload a copy to I-Trac</w:t>
      </w:r>
      <w:r w:rsidR="00250EA2">
        <w:t xml:space="preserve"> using the I-Trac Document Upload Tool</w:t>
      </w:r>
      <w:r>
        <w:t xml:space="preserve">. For new enrollments, follow the I-Trac e-signature procedures to secure and store </w:t>
      </w:r>
      <w:r w:rsidR="00250EA2">
        <w:t>participant</w:t>
      </w:r>
      <w:r>
        <w:t xml:space="preserve"> signatures.</w:t>
      </w:r>
    </w:p>
    <w:p w14:paraId="2A12570A" w14:textId="77777777" w:rsidR="000239B6" w:rsidRDefault="000239B6" w:rsidP="000239B6">
      <w:pPr>
        <w:pStyle w:val="ListParagraph"/>
      </w:pPr>
    </w:p>
    <w:p w14:paraId="2BC4BDD9" w14:textId="15A55D16" w:rsidR="00C91BE6" w:rsidRDefault="00A95690" w:rsidP="00C91BE6">
      <w:pPr>
        <w:pStyle w:val="ListParagraph"/>
        <w:numPr>
          <w:ilvl w:val="0"/>
          <w:numId w:val="1"/>
        </w:numPr>
      </w:pPr>
      <w:r>
        <w:t xml:space="preserve">I have a </w:t>
      </w:r>
      <w:r w:rsidR="00250EA2">
        <w:t>participant</w:t>
      </w:r>
      <w:r w:rsidR="00452773">
        <w:t xml:space="preserve"> who has already been enrolled in P10k by another provider. Do I need to create another </w:t>
      </w:r>
      <w:r w:rsidR="00C91BE6">
        <w:t>P10k record?</w:t>
      </w:r>
    </w:p>
    <w:p w14:paraId="00B546AC" w14:textId="03F0C147" w:rsidR="00C91BE6" w:rsidRDefault="00777141" w:rsidP="00603D20">
      <w:pPr>
        <w:pStyle w:val="ListParagraph"/>
        <w:numPr>
          <w:ilvl w:val="0"/>
          <w:numId w:val="22"/>
        </w:numPr>
      </w:pPr>
      <w:r>
        <w:t>If the existing record is active (un-exited), you do not create another P10k record</w:t>
      </w:r>
      <w:r w:rsidR="00CA0771">
        <w:t>. Instead, you will add your program to the “Other Funding Source” field of the Registration Tab.</w:t>
      </w:r>
      <w:r w:rsidR="000657CF">
        <w:t xml:space="preserve"> If the existing P10k record has already been exited, you can add a new P10k record</w:t>
      </w:r>
      <w:r w:rsidR="000239B6">
        <w:t xml:space="preserve"> following the normal enrollment procedures.</w:t>
      </w:r>
    </w:p>
    <w:p w14:paraId="3DBCF762" w14:textId="77777777" w:rsidR="009265B0" w:rsidRDefault="009265B0" w:rsidP="009265B0">
      <w:pPr>
        <w:pStyle w:val="ListParagraph"/>
      </w:pPr>
    </w:p>
    <w:p w14:paraId="12D42AFF" w14:textId="02A5DC22" w:rsidR="00F35004" w:rsidRDefault="00F35004" w:rsidP="009265B0">
      <w:pPr>
        <w:pStyle w:val="ListParagraph"/>
        <w:numPr>
          <w:ilvl w:val="0"/>
          <w:numId w:val="1"/>
        </w:numPr>
        <w:spacing w:after="0" w:line="240" w:lineRule="auto"/>
      </w:pPr>
      <w:r>
        <w:t>Who should I enroll?</w:t>
      </w:r>
    </w:p>
    <w:p w14:paraId="649DE849" w14:textId="2F4B8805" w:rsidR="00B655BE" w:rsidRDefault="00A43695" w:rsidP="009265B0">
      <w:pPr>
        <w:pStyle w:val="ListParagraph"/>
        <w:numPr>
          <w:ilvl w:val="0"/>
          <w:numId w:val="37"/>
        </w:numPr>
      </w:pPr>
      <w:r>
        <w:t>Pri</w:t>
      </w:r>
      <w:r w:rsidR="005C78AA">
        <w:t xml:space="preserve">ority is to co-enroll all Career Boost participants. Participants may not be enrolled just to access support service funding. </w:t>
      </w:r>
      <w:r w:rsidR="005C61EA">
        <w:t xml:space="preserve">At minimum, all participants enrolled in P10k should be receiving </w:t>
      </w:r>
      <w:r w:rsidR="00692A91">
        <w:t xml:space="preserve">documented </w:t>
      </w:r>
      <w:r w:rsidR="005C61EA">
        <w:t>coaching services</w:t>
      </w:r>
      <w:r w:rsidR="00721F08">
        <w:t>.</w:t>
      </w:r>
    </w:p>
    <w:p w14:paraId="3CD0C730" w14:textId="77777777" w:rsidR="007B39CB" w:rsidRPr="003356AE" w:rsidRDefault="007B39CB" w:rsidP="007B39CB">
      <w:pPr>
        <w:pStyle w:val="ListParagraph"/>
      </w:pPr>
    </w:p>
    <w:p w14:paraId="3E9B472B" w14:textId="7E3D10C3" w:rsidR="003356AE" w:rsidRDefault="003356AE">
      <w:pPr>
        <w:rPr>
          <w:b/>
          <w:bCs/>
        </w:rPr>
      </w:pPr>
      <w:r>
        <w:rPr>
          <w:b/>
          <w:bCs/>
        </w:rPr>
        <w:t>Services</w:t>
      </w:r>
      <w:r w:rsidR="009C67FC">
        <w:rPr>
          <w:b/>
          <w:bCs/>
        </w:rPr>
        <w:t xml:space="preserve"> and Payments</w:t>
      </w:r>
    </w:p>
    <w:p w14:paraId="12CEB9D1" w14:textId="0939DD89" w:rsidR="00617F63" w:rsidRDefault="006931AB" w:rsidP="00617F63">
      <w:pPr>
        <w:pStyle w:val="ListParagraph"/>
        <w:numPr>
          <w:ilvl w:val="0"/>
          <w:numId w:val="8"/>
        </w:numPr>
      </w:pPr>
      <w:r>
        <w:t>What services are allowable with P10k</w:t>
      </w:r>
      <w:r w:rsidR="00617F63">
        <w:t>?</w:t>
      </w:r>
    </w:p>
    <w:p w14:paraId="1FBB523B" w14:textId="157B29A1" w:rsidR="00617F63" w:rsidRDefault="002C59C7" w:rsidP="00617F63">
      <w:pPr>
        <w:pStyle w:val="ListParagraph"/>
        <w:numPr>
          <w:ilvl w:val="0"/>
          <w:numId w:val="9"/>
        </w:numPr>
      </w:pPr>
      <w:r>
        <w:t xml:space="preserve">Recruitment and engagement services, </w:t>
      </w:r>
      <w:r w:rsidR="006931AB">
        <w:t xml:space="preserve">Career Coaching, Job </w:t>
      </w:r>
      <w:r w:rsidR="00B10370">
        <w:t>Search Assistance</w:t>
      </w:r>
      <w:r w:rsidR="006931AB">
        <w:t>, Support Services</w:t>
      </w:r>
      <w:proofErr w:type="gramStart"/>
      <w:r w:rsidR="006931AB">
        <w:t>, ,</w:t>
      </w:r>
      <w:proofErr w:type="gramEnd"/>
      <w:r w:rsidR="006931AB">
        <w:t xml:space="preserve"> </w:t>
      </w:r>
      <w:r w:rsidR="00F422FC">
        <w:t xml:space="preserve">Work Experience </w:t>
      </w:r>
      <w:r w:rsidR="006931AB">
        <w:t xml:space="preserve">and a variety of </w:t>
      </w:r>
      <w:r w:rsidR="008E1D1D">
        <w:t>T</w:t>
      </w:r>
      <w:r w:rsidR="006931AB">
        <w:t>raining services are allowable.</w:t>
      </w:r>
    </w:p>
    <w:p w14:paraId="704E69F6" w14:textId="77777777" w:rsidR="00617F63" w:rsidRDefault="00617F63" w:rsidP="00617F63">
      <w:pPr>
        <w:pStyle w:val="ListParagraph"/>
      </w:pPr>
    </w:p>
    <w:p w14:paraId="0B43FBFB" w14:textId="36612B23" w:rsidR="00617F63" w:rsidRDefault="00F92B80" w:rsidP="00617F63">
      <w:pPr>
        <w:pStyle w:val="ListParagraph"/>
        <w:numPr>
          <w:ilvl w:val="0"/>
          <w:numId w:val="8"/>
        </w:numPr>
      </w:pPr>
      <w:r>
        <w:t>What services should be copied to the P10k record?</w:t>
      </w:r>
    </w:p>
    <w:p w14:paraId="2CAFA175" w14:textId="77777777" w:rsidR="000D324A" w:rsidRDefault="000D324A" w:rsidP="00F92B80">
      <w:pPr>
        <w:pStyle w:val="ListParagraph"/>
        <w:numPr>
          <w:ilvl w:val="0"/>
          <w:numId w:val="9"/>
        </w:numPr>
      </w:pPr>
      <w:r>
        <w:t>The copying of services is specific to the fund where the service is copied from.</w:t>
      </w:r>
    </w:p>
    <w:p w14:paraId="0F41E6AE" w14:textId="5A2C374F" w:rsidR="000D324A" w:rsidRDefault="000D324A" w:rsidP="00735944">
      <w:pPr>
        <w:ind w:left="720"/>
      </w:pPr>
      <w:r>
        <w:t xml:space="preserve">EOP: </w:t>
      </w:r>
      <w:r w:rsidR="00304C45" w:rsidRPr="004E7D44">
        <w:rPr>
          <w:i/>
          <w:iCs/>
        </w:rPr>
        <w:t xml:space="preserve">Career Coaching, Career </w:t>
      </w:r>
      <w:r w:rsidR="002E2C43" w:rsidRPr="004E7D44">
        <w:rPr>
          <w:i/>
          <w:iCs/>
        </w:rPr>
        <w:t xml:space="preserve">Mapping, </w:t>
      </w:r>
      <w:r w:rsidR="00304C45" w:rsidRPr="004E7D44">
        <w:rPr>
          <w:i/>
          <w:iCs/>
        </w:rPr>
        <w:t xml:space="preserve">Career and Resource Planning, </w:t>
      </w:r>
      <w:r w:rsidRPr="004E7D44">
        <w:rPr>
          <w:i/>
          <w:iCs/>
        </w:rPr>
        <w:t>Job Search Assistance</w:t>
      </w:r>
      <w:r w:rsidR="00475C77">
        <w:rPr>
          <w:i/>
          <w:iCs/>
        </w:rPr>
        <w:t xml:space="preserve">, all </w:t>
      </w:r>
      <w:r w:rsidR="007D6919">
        <w:rPr>
          <w:i/>
          <w:iCs/>
        </w:rPr>
        <w:t>Follow-up services</w:t>
      </w:r>
    </w:p>
    <w:p w14:paraId="227CF9DC" w14:textId="66FD9F74" w:rsidR="001875FB" w:rsidRDefault="007B3A29" w:rsidP="0090628E">
      <w:pPr>
        <w:ind w:left="1620" w:hanging="900"/>
      </w:pPr>
      <w:r>
        <w:t xml:space="preserve">NextGen: </w:t>
      </w:r>
      <w:r w:rsidRPr="004E7D44">
        <w:rPr>
          <w:i/>
          <w:iCs/>
        </w:rPr>
        <w:t xml:space="preserve">Career Coaching, </w:t>
      </w:r>
      <w:r w:rsidR="00304C45" w:rsidRPr="004E7D44">
        <w:rPr>
          <w:i/>
          <w:iCs/>
        </w:rPr>
        <w:t xml:space="preserve">Career </w:t>
      </w:r>
      <w:r w:rsidR="002A6C4C" w:rsidRPr="004E7D44">
        <w:rPr>
          <w:i/>
          <w:iCs/>
        </w:rPr>
        <w:t xml:space="preserve">Mapping, </w:t>
      </w:r>
      <w:r w:rsidR="00304C45" w:rsidRPr="004E7D44">
        <w:rPr>
          <w:i/>
          <w:iCs/>
        </w:rPr>
        <w:t>Career Labs</w:t>
      </w:r>
      <w:r w:rsidR="000D324A" w:rsidRPr="004E7D44">
        <w:rPr>
          <w:i/>
          <w:iCs/>
        </w:rPr>
        <w:t>, Fi</w:t>
      </w:r>
      <w:r w:rsidR="00D56E2F" w:rsidRPr="004E7D44">
        <w:rPr>
          <w:i/>
          <w:iCs/>
        </w:rPr>
        <w:t xml:space="preserve">nancial </w:t>
      </w:r>
      <w:r w:rsidR="00CC3C94" w:rsidRPr="004E7D44">
        <w:rPr>
          <w:i/>
          <w:iCs/>
        </w:rPr>
        <w:t>Literacy, Job Search</w:t>
      </w:r>
      <w:r w:rsidR="001875FB" w:rsidRPr="004E7D44">
        <w:rPr>
          <w:i/>
          <w:iCs/>
        </w:rPr>
        <w:t xml:space="preserve"> Assistance</w:t>
      </w:r>
      <w:r w:rsidR="007D6919">
        <w:t xml:space="preserve">, </w:t>
      </w:r>
      <w:r w:rsidR="007D6919" w:rsidRPr="007D6919">
        <w:rPr>
          <w:i/>
          <w:iCs/>
        </w:rPr>
        <w:t>all Follow-up services</w:t>
      </w:r>
    </w:p>
    <w:p w14:paraId="3F4D311E" w14:textId="21E2C6F5" w:rsidR="00B35447" w:rsidRDefault="00B35447" w:rsidP="00735944">
      <w:pPr>
        <w:ind w:left="720"/>
      </w:pPr>
      <w:r>
        <w:t xml:space="preserve">CCTP: </w:t>
      </w:r>
      <w:r w:rsidR="00476A73" w:rsidRPr="004E7D44">
        <w:rPr>
          <w:i/>
          <w:iCs/>
        </w:rPr>
        <w:t xml:space="preserve">Career Coaching, </w:t>
      </w:r>
      <w:r w:rsidR="00EE3A17" w:rsidRPr="004E7D44">
        <w:rPr>
          <w:i/>
          <w:iCs/>
        </w:rPr>
        <w:t xml:space="preserve">Resource Planning, Job Search Assistance, </w:t>
      </w:r>
      <w:r w:rsidRPr="004E7D44">
        <w:rPr>
          <w:i/>
          <w:iCs/>
        </w:rPr>
        <w:t xml:space="preserve">Pre-Apprenticeship </w:t>
      </w:r>
      <w:r w:rsidR="00EE3A17" w:rsidRPr="004E7D44">
        <w:rPr>
          <w:i/>
          <w:iCs/>
        </w:rPr>
        <w:t>service</w:t>
      </w:r>
    </w:p>
    <w:p w14:paraId="3B056258" w14:textId="2E1890A1" w:rsidR="001A0F79" w:rsidRDefault="001875FB" w:rsidP="00735944">
      <w:pPr>
        <w:ind w:left="720"/>
      </w:pPr>
      <w:r>
        <w:t xml:space="preserve">WSPM: </w:t>
      </w:r>
      <w:r w:rsidRPr="004E7D44">
        <w:rPr>
          <w:i/>
          <w:iCs/>
        </w:rPr>
        <w:t>Training and Work Based Training services</w:t>
      </w:r>
      <w:r w:rsidR="00B479AC">
        <w:t xml:space="preserve">, </w:t>
      </w:r>
      <w:r w:rsidR="00B479AC" w:rsidRPr="00B479AC">
        <w:rPr>
          <w:i/>
          <w:iCs/>
        </w:rPr>
        <w:t xml:space="preserve">1:1 Job Coaching </w:t>
      </w:r>
      <w:proofErr w:type="gramStart"/>
      <w:r w:rsidR="00B479AC" w:rsidRPr="00B479AC">
        <w:rPr>
          <w:i/>
          <w:iCs/>
        </w:rPr>
        <w:t>services</w:t>
      </w:r>
      <w:proofErr w:type="gramEnd"/>
    </w:p>
    <w:p w14:paraId="40DCD500" w14:textId="77777777" w:rsidR="00617F63" w:rsidRDefault="00617F63" w:rsidP="00617F63">
      <w:pPr>
        <w:pStyle w:val="ListParagraph"/>
      </w:pPr>
    </w:p>
    <w:p w14:paraId="3336E63E" w14:textId="7297D803" w:rsidR="00576362" w:rsidRDefault="00F92B80" w:rsidP="001B22F1">
      <w:pPr>
        <w:pStyle w:val="ListParagraph"/>
        <w:numPr>
          <w:ilvl w:val="0"/>
          <w:numId w:val="8"/>
        </w:numPr>
      </w:pPr>
      <w:r>
        <w:lastRenderedPageBreak/>
        <w:t xml:space="preserve">Can I pay for </w:t>
      </w:r>
      <w:proofErr w:type="gramStart"/>
      <w:r>
        <w:t>a Work</w:t>
      </w:r>
      <w:proofErr w:type="gramEnd"/>
      <w:r>
        <w:t xml:space="preserve"> Experience (WEX) with P10k funds?</w:t>
      </w:r>
    </w:p>
    <w:p w14:paraId="4646E0BA" w14:textId="188F7AFC" w:rsidR="00F92B80" w:rsidRDefault="00286753" w:rsidP="00286753">
      <w:pPr>
        <w:pStyle w:val="ListParagraph"/>
        <w:numPr>
          <w:ilvl w:val="0"/>
          <w:numId w:val="13"/>
        </w:numPr>
      </w:pPr>
      <w:r>
        <w:t>While WEX is an allowable training service under P10k, funding for WEX services and administration has only been allocated to specific contracts.</w:t>
      </w:r>
      <w:r w:rsidR="00B00742">
        <w:t xml:space="preserve"> </w:t>
      </w:r>
      <w:proofErr w:type="gramStart"/>
      <w:r w:rsidR="00B00742">
        <w:t>If it</w:t>
      </w:r>
      <w:proofErr w:type="gramEnd"/>
      <w:r w:rsidR="00B00742">
        <w:t xml:space="preserve"> WEX funding is not included in your contract, then </w:t>
      </w:r>
      <w:r w:rsidR="00125B4A">
        <w:t>you should not pay for WEX.</w:t>
      </w:r>
    </w:p>
    <w:p w14:paraId="21B0FE5A" w14:textId="77777777" w:rsidR="004E5B5D" w:rsidRDefault="004E5B5D" w:rsidP="004E5B5D">
      <w:pPr>
        <w:pStyle w:val="ListParagraph"/>
      </w:pPr>
    </w:p>
    <w:p w14:paraId="42DD226E" w14:textId="45C574AF" w:rsidR="003103C6" w:rsidRDefault="003103C6" w:rsidP="00AA092F">
      <w:pPr>
        <w:pStyle w:val="ListParagraph"/>
        <w:numPr>
          <w:ilvl w:val="0"/>
          <w:numId w:val="23"/>
        </w:numPr>
      </w:pPr>
      <w:r>
        <w:t>Can I pay for training stipends with P10k funds?</w:t>
      </w:r>
    </w:p>
    <w:p w14:paraId="431A3DDB" w14:textId="1D1AE6A4" w:rsidR="003103C6" w:rsidRDefault="00172CAA" w:rsidP="003103C6">
      <w:pPr>
        <w:pStyle w:val="ListParagraph"/>
        <w:numPr>
          <w:ilvl w:val="0"/>
          <w:numId w:val="3"/>
        </w:numPr>
      </w:pPr>
      <w:r>
        <w:t>T</w:t>
      </w:r>
      <w:r w:rsidR="004E5B5D">
        <w:t xml:space="preserve">raining stipends are an allowable expense under P10k, </w:t>
      </w:r>
      <w:r w:rsidR="00B343C6">
        <w:t xml:space="preserve">but they are only allowed for a </w:t>
      </w:r>
      <w:r w:rsidR="00027127">
        <w:t>participant</w:t>
      </w:r>
      <w:r w:rsidR="00B343C6">
        <w:t xml:space="preserve"> engaged in a Learning Opportunity</w:t>
      </w:r>
      <w:r w:rsidR="00F328DD">
        <w:t>, which is a specific type of training service (see the Regional Program Standards). F</w:t>
      </w:r>
      <w:r w:rsidR="004E5B5D">
        <w:t xml:space="preserve">unding for </w:t>
      </w:r>
      <w:r w:rsidR="001A1B91">
        <w:t>stipends</w:t>
      </w:r>
      <w:r w:rsidR="004E5B5D">
        <w:t xml:space="preserve"> has only been allocated to specific contracts.</w:t>
      </w:r>
    </w:p>
    <w:p w14:paraId="7C8D78D5" w14:textId="77777777" w:rsidR="00C552C9" w:rsidRDefault="00C552C9" w:rsidP="00C552C9">
      <w:pPr>
        <w:pStyle w:val="ListParagraph"/>
      </w:pPr>
    </w:p>
    <w:p w14:paraId="537CC670" w14:textId="1CACA11D" w:rsidR="00C552C9" w:rsidRDefault="00D35EA8" w:rsidP="00AA092F">
      <w:pPr>
        <w:pStyle w:val="ListParagraph"/>
        <w:numPr>
          <w:ilvl w:val="0"/>
          <w:numId w:val="23"/>
        </w:numPr>
      </w:pPr>
      <w:r>
        <w:t>Do I need to enter payments</w:t>
      </w:r>
      <w:r w:rsidR="00EA2D56">
        <w:t xml:space="preserve"> for support services?</w:t>
      </w:r>
    </w:p>
    <w:p w14:paraId="25AD85F1" w14:textId="2C0EF247" w:rsidR="00EA2D56" w:rsidRDefault="00AF2D20" w:rsidP="00EA2D56">
      <w:pPr>
        <w:pStyle w:val="ListParagraph"/>
        <w:numPr>
          <w:ilvl w:val="0"/>
          <w:numId w:val="15"/>
        </w:numPr>
      </w:pPr>
      <w:r>
        <w:t xml:space="preserve">Yes. If </w:t>
      </w:r>
      <w:r w:rsidR="00EF19D8">
        <w:t>a</w:t>
      </w:r>
      <w:r>
        <w:t xml:space="preserve"> </w:t>
      </w:r>
      <w:proofErr w:type="gramStart"/>
      <w:r>
        <w:t>support services</w:t>
      </w:r>
      <w:proofErr w:type="gramEnd"/>
      <w:r>
        <w:t xml:space="preserve"> </w:t>
      </w:r>
      <w:r w:rsidR="00EF19D8">
        <w:t>i</w:t>
      </w:r>
      <w:r>
        <w:t>s funded by P10k, then the payment must be entered in the P10k record on the Payments Tab.</w:t>
      </w:r>
    </w:p>
    <w:p w14:paraId="718B6495" w14:textId="0B9EA005" w:rsidR="00623BDF" w:rsidRDefault="00623BDF" w:rsidP="00623BDF">
      <w:pPr>
        <w:pStyle w:val="ListParagraph"/>
      </w:pPr>
    </w:p>
    <w:p w14:paraId="5F6D84E8" w14:textId="29C86991" w:rsidR="00623BDF" w:rsidRDefault="00623BDF" w:rsidP="00AA092F">
      <w:pPr>
        <w:pStyle w:val="ListParagraph"/>
        <w:numPr>
          <w:ilvl w:val="0"/>
          <w:numId w:val="23"/>
        </w:numPr>
      </w:pPr>
      <w:r>
        <w:t xml:space="preserve">Do I need to enter payments for </w:t>
      </w:r>
      <w:r w:rsidR="00C30ADA">
        <w:t>T</w:t>
      </w:r>
      <w:r>
        <w:t>raining services?</w:t>
      </w:r>
    </w:p>
    <w:p w14:paraId="457FF4C4" w14:textId="2FACC0C2" w:rsidR="00623BDF" w:rsidRDefault="00CC3AD3" w:rsidP="00CC3AD3">
      <w:pPr>
        <w:pStyle w:val="ListParagraph"/>
        <w:numPr>
          <w:ilvl w:val="0"/>
          <w:numId w:val="18"/>
        </w:numPr>
      </w:pPr>
      <w:r>
        <w:t xml:space="preserve">Yes. If </w:t>
      </w:r>
      <w:r w:rsidR="00D348D5">
        <w:t>a</w:t>
      </w:r>
      <w:r>
        <w:t xml:space="preserve"> </w:t>
      </w:r>
      <w:r w:rsidR="00C30ADA">
        <w:t>T</w:t>
      </w:r>
      <w:r>
        <w:t xml:space="preserve">raining </w:t>
      </w:r>
      <w:r w:rsidR="00D348D5">
        <w:t>i</w:t>
      </w:r>
      <w:r>
        <w:t xml:space="preserve">s paid for </w:t>
      </w:r>
      <w:r w:rsidR="00A25DA9">
        <w:t>with</w:t>
      </w:r>
      <w:r>
        <w:t xml:space="preserve"> P10k</w:t>
      </w:r>
      <w:r w:rsidR="00A25DA9">
        <w:t xml:space="preserve"> funds, then the payment must be entered in the P10k record on the Payments Tab.</w:t>
      </w:r>
    </w:p>
    <w:p w14:paraId="6C6C5B8C" w14:textId="5C116477" w:rsidR="00F7244B" w:rsidRDefault="00F7244B" w:rsidP="002B0F87">
      <w:pPr>
        <w:pStyle w:val="ListParagraph"/>
      </w:pPr>
    </w:p>
    <w:p w14:paraId="10A905D9" w14:textId="7E0750F2" w:rsidR="00097DFF" w:rsidRDefault="00097DFF" w:rsidP="008A6BC9">
      <w:pPr>
        <w:pStyle w:val="ListParagraph"/>
        <w:numPr>
          <w:ilvl w:val="0"/>
          <w:numId w:val="24"/>
        </w:numPr>
      </w:pPr>
      <w:r>
        <w:t xml:space="preserve">Should I enter or copy </w:t>
      </w:r>
      <w:r w:rsidR="00C30ADA">
        <w:t>T</w:t>
      </w:r>
      <w:r>
        <w:t>raining services to P10k that were not funded by P10k?</w:t>
      </w:r>
    </w:p>
    <w:p w14:paraId="6C90E427" w14:textId="0873D236" w:rsidR="008A6BC9" w:rsidRDefault="009E1CE9" w:rsidP="008A6BC9">
      <w:pPr>
        <w:pStyle w:val="ListParagraph"/>
        <w:numPr>
          <w:ilvl w:val="0"/>
          <w:numId w:val="27"/>
        </w:numPr>
      </w:pPr>
      <w:r>
        <w:t xml:space="preserve">No. </w:t>
      </w:r>
      <w:r w:rsidR="00144C7D">
        <w:t>Training not funded by P10k should not be entered</w:t>
      </w:r>
      <w:r w:rsidR="002A323D">
        <w:t xml:space="preserve"> or copied to the P10k record.</w:t>
      </w:r>
    </w:p>
    <w:p w14:paraId="13D9AFD2" w14:textId="77777777" w:rsidR="00617F63" w:rsidRDefault="00617F63">
      <w:pPr>
        <w:rPr>
          <w:b/>
          <w:bCs/>
        </w:rPr>
      </w:pPr>
    </w:p>
    <w:p w14:paraId="08F700C1" w14:textId="60AFF996" w:rsidR="003356AE" w:rsidRDefault="003356AE">
      <w:pPr>
        <w:rPr>
          <w:b/>
          <w:bCs/>
        </w:rPr>
      </w:pPr>
      <w:r>
        <w:rPr>
          <w:b/>
          <w:bCs/>
        </w:rPr>
        <w:t>Exiting Participants</w:t>
      </w:r>
    </w:p>
    <w:p w14:paraId="6A537190" w14:textId="5CB13AFE" w:rsidR="00306B91" w:rsidRDefault="001D7F43" w:rsidP="00306B91">
      <w:pPr>
        <w:pStyle w:val="ListParagraph"/>
        <w:numPr>
          <w:ilvl w:val="0"/>
          <w:numId w:val="10"/>
        </w:numPr>
      </w:pPr>
      <w:r>
        <w:t xml:space="preserve">If a </w:t>
      </w:r>
      <w:r w:rsidR="00DC10FF">
        <w:t>participant</w:t>
      </w:r>
      <w:r>
        <w:t xml:space="preserve"> was already employed when I enrolled them in P10k, and their employment hasn’t changed</w:t>
      </w:r>
      <w:r w:rsidR="0041359B">
        <w:t xml:space="preserve"> when I’m ready to exit them, </w:t>
      </w:r>
      <w:r w:rsidR="00071656">
        <w:t>should I enter that employment and exit them as successful</w:t>
      </w:r>
      <w:r w:rsidR="00306B91">
        <w:t>?</w:t>
      </w:r>
    </w:p>
    <w:p w14:paraId="1E389CCC" w14:textId="3FE8EC73" w:rsidR="00306B91" w:rsidRDefault="006E7675" w:rsidP="00306B91">
      <w:pPr>
        <w:pStyle w:val="ListParagraph"/>
        <w:numPr>
          <w:ilvl w:val="0"/>
          <w:numId w:val="11"/>
        </w:numPr>
      </w:pPr>
      <w:r>
        <w:t>No</w:t>
      </w:r>
      <w:r w:rsidR="00306B91">
        <w:t>.</w:t>
      </w:r>
      <w:r>
        <w:t xml:space="preserve"> If there is no change in employment status, then </w:t>
      </w:r>
      <w:r w:rsidR="007A3B74">
        <w:t xml:space="preserve">we would not capture an employment outcome for that participant. </w:t>
      </w:r>
    </w:p>
    <w:p w14:paraId="7CE3FEC5" w14:textId="77777777" w:rsidR="00306B91" w:rsidRDefault="00306B91" w:rsidP="00306B91">
      <w:pPr>
        <w:pStyle w:val="ListParagraph"/>
      </w:pPr>
    </w:p>
    <w:p w14:paraId="4580C8E2" w14:textId="1BC72967" w:rsidR="00306B91" w:rsidRDefault="00262292" w:rsidP="00306B91">
      <w:pPr>
        <w:pStyle w:val="ListParagraph"/>
        <w:numPr>
          <w:ilvl w:val="0"/>
          <w:numId w:val="10"/>
        </w:numPr>
      </w:pPr>
      <w:r>
        <w:t xml:space="preserve">Do I need to exit my </w:t>
      </w:r>
      <w:r w:rsidR="00CA1FD3">
        <w:t>Career Boost customer from P10k if they lose their SNAP status?</w:t>
      </w:r>
    </w:p>
    <w:p w14:paraId="78A764CF" w14:textId="2233B8FC" w:rsidR="00306B91" w:rsidRDefault="00674AC7" w:rsidP="00306B91">
      <w:pPr>
        <w:pStyle w:val="ListParagraph"/>
        <w:numPr>
          <w:ilvl w:val="0"/>
          <w:numId w:val="11"/>
        </w:numPr>
      </w:pPr>
      <w:r>
        <w:t xml:space="preserve">No. The loss of SNAP </w:t>
      </w:r>
      <w:r w:rsidR="000D2580">
        <w:t xml:space="preserve">eligibility does not mean that you are required to exit the </w:t>
      </w:r>
      <w:r w:rsidR="009E6DDD">
        <w:t>participant</w:t>
      </w:r>
      <w:r w:rsidR="000D2580">
        <w:t xml:space="preserve"> from P10k. </w:t>
      </w:r>
      <w:r w:rsidR="009C7DCD">
        <w:t xml:space="preserve">Funding for P10k is budgeted in contracts to serve both SNAP and non-SNAP </w:t>
      </w:r>
      <w:r w:rsidR="009E6DDD">
        <w:t>participants</w:t>
      </w:r>
      <w:r w:rsidR="009C7DCD">
        <w:t>.</w:t>
      </w:r>
      <w:r w:rsidR="005B7D5E">
        <w:t xml:space="preserve"> However, if your </w:t>
      </w:r>
      <w:r w:rsidR="009E6DDD">
        <w:t>participant</w:t>
      </w:r>
      <w:r w:rsidR="005B7D5E">
        <w:t xml:space="preserve"> lost their SNAP because they have obtained employment</w:t>
      </w:r>
      <w:r w:rsidR="00606A4E">
        <w:t xml:space="preserve"> with high-enough wages</w:t>
      </w:r>
      <w:r w:rsidR="00CD07EA">
        <w:t>, you may want to consider</w:t>
      </w:r>
      <w:r w:rsidR="00EC48BC">
        <w:t xml:space="preserve"> exiting them from P10k </w:t>
      </w:r>
      <w:proofErr w:type="gramStart"/>
      <w:r w:rsidR="00EC48BC">
        <w:t>in order to</w:t>
      </w:r>
      <w:proofErr w:type="gramEnd"/>
      <w:r w:rsidR="00EC48BC">
        <w:t xml:space="preserve"> capture performance.</w:t>
      </w:r>
      <w:r w:rsidR="00606A4E">
        <w:t xml:space="preserve"> </w:t>
      </w:r>
      <w:r w:rsidR="003038BE">
        <w:t>Follow the Exit Decision Guide</w:t>
      </w:r>
      <w:r w:rsidR="008D7C82">
        <w:t xml:space="preserve"> to make the determination.</w:t>
      </w:r>
    </w:p>
    <w:p w14:paraId="1199113F" w14:textId="77777777" w:rsidR="008D7C82" w:rsidRDefault="008D7C82" w:rsidP="008D7C82">
      <w:pPr>
        <w:pStyle w:val="ListParagraph"/>
      </w:pPr>
    </w:p>
    <w:p w14:paraId="50F43CC9" w14:textId="5B01B101" w:rsidR="008D7C82" w:rsidRDefault="00B91731" w:rsidP="008D7C82">
      <w:pPr>
        <w:pStyle w:val="ListParagraph"/>
        <w:numPr>
          <w:ilvl w:val="0"/>
          <w:numId w:val="30"/>
        </w:numPr>
      </w:pPr>
      <w:r>
        <w:t>Do all participants need to be manually exited by June 30, 2023?</w:t>
      </w:r>
    </w:p>
    <w:p w14:paraId="6AF0481B" w14:textId="6E91D72D" w:rsidR="00B91731" w:rsidRDefault="008E0BC5" w:rsidP="00B91731">
      <w:pPr>
        <w:pStyle w:val="ListParagraph"/>
        <w:numPr>
          <w:ilvl w:val="0"/>
          <w:numId w:val="32"/>
        </w:numPr>
      </w:pPr>
      <w:r>
        <w:t>TBD. Worksystems has not yet received guidance from the State</w:t>
      </w:r>
      <w:r w:rsidR="003E7499">
        <w:t xml:space="preserve"> on this</w:t>
      </w:r>
      <w:r w:rsidR="00B17B90">
        <w:t xml:space="preserve">. In the meantime, </w:t>
      </w:r>
      <w:r w:rsidR="00D368FC">
        <w:t>we encourage you to manually exit successful customers</w:t>
      </w:r>
      <w:r w:rsidR="00D37048">
        <w:t xml:space="preserve"> when the time is appropriate up through the end of the program year (6/30/23).</w:t>
      </w:r>
    </w:p>
    <w:p w14:paraId="6BF8D8F3" w14:textId="77777777" w:rsidR="000D7AFC" w:rsidRDefault="000D7AFC" w:rsidP="000D7AFC">
      <w:pPr>
        <w:pStyle w:val="ListParagraph"/>
      </w:pPr>
    </w:p>
    <w:p w14:paraId="6FF5FAB1" w14:textId="77777777" w:rsidR="00254E33" w:rsidRDefault="00254E33" w:rsidP="000D7AFC">
      <w:pPr>
        <w:pStyle w:val="ListParagraph"/>
      </w:pPr>
    </w:p>
    <w:p w14:paraId="5AD4640F" w14:textId="77777777" w:rsidR="00254E33" w:rsidRDefault="00254E33" w:rsidP="000D7AFC">
      <w:pPr>
        <w:pStyle w:val="ListParagraph"/>
      </w:pPr>
    </w:p>
    <w:p w14:paraId="6A28074D" w14:textId="77777777" w:rsidR="00254E33" w:rsidRDefault="00254E33" w:rsidP="000D7AFC">
      <w:pPr>
        <w:pStyle w:val="ListParagraph"/>
      </w:pPr>
    </w:p>
    <w:p w14:paraId="68A86CED" w14:textId="64CE26BA" w:rsidR="00F10457" w:rsidRDefault="000D7AFC" w:rsidP="00F10457">
      <w:pPr>
        <w:pStyle w:val="ListParagraph"/>
        <w:numPr>
          <w:ilvl w:val="0"/>
          <w:numId w:val="33"/>
        </w:numPr>
      </w:pPr>
      <w:r>
        <w:lastRenderedPageBreak/>
        <w:t xml:space="preserve">Is it ok to let </w:t>
      </w:r>
      <w:r w:rsidR="00475AD3">
        <w:t>participants</w:t>
      </w:r>
      <w:r>
        <w:t xml:space="preserve"> auto-exit?</w:t>
      </w:r>
    </w:p>
    <w:p w14:paraId="6696F8DF" w14:textId="7FD42175" w:rsidR="000D7AFC" w:rsidRDefault="000D7AFC" w:rsidP="000D7AFC">
      <w:pPr>
        <w:pStyle w:val="ListParagraph"/>
        <w:numPr>
          <w:ilvl w:val="0"/>
          <w:numId w:val="35"/>
        </w:numPr>
      </w:pPr>
      <w:r>
        <w:t xml:space="preserve">To the extent possible, </w:t>
      </w:r>
      <w:r w:rsidR="00140AB6">
        <w:t xml:space="preserve">we want to manually exit </w:t>
      </w:r>
      <w:r w:rsidR="00475AD3">
        <w:t>participants</w:t>
      </w:r>
      <w:r w:rsidR="00140AB6">
        <w:t xml:space="preserve"> as either “successful” or “not successful.” Monitor your </w:t>
      </w:r>
      <w:r w:rsidR="00475AD3">
        <w:t>participant’s</w:t>
      </w:r>
      <w:r w:rsidR="00526AAE">
        <w:t xml:space="preserve"> last qualifying service dates to ensure that </w:t>
      </w:r>
      <w:r w:rsidR="00D948A7">
        <w:t xml:space="preserve">they do not accidentally auto-exit. Should a </w:t>
      </w:r>
      <w:r w:rsidR="00475AD3">
        <w:t>participant</w:t>
      </w:r>
      <w:r w:rsidR="00D948A7">
        <w:t xml:space="preserve"> be approaching their auto-exit date</w:t>
      </w:r>
      <w:r w:rsidR="00524CCB">
        <w:t xml:space="preserve"> (90 days without a service), and they have </w:t>
      </w:r>
      <w:r w:rsidR="00F904EF">
        <w:t xml:space="preserve">disengaged, </w:t>
      </w:r>
      <w:r w:rsidR="003535B5">
        <w:t xml:space="preserve">use the Exit Decision Guide to determine the </w:t>
      </w:r>
      <w:r w:rsidR="00651551">
        <w:t xml:space="preserve">if the </w:t>
      </w:r>
      <w:r w:rsidR="00475AD3">
        <w:t>participant</w:t>
      </w:r>
      <w:r w:rsidR="00651551">
        <w:t xml:space="preserve"> should be </w:t>
      </w:r>
      <w:proofErr w:type="gramStart"/>
      <w:r w:rsidR="00651551">
        <w:t>exited</w:t>
      </w:r>
      <w:proofErr w:type="gramEnd"/>
      <w:r w:rsidR="00651551">
        <w:t xml:space="preserve"> as “successful” or “not successful.”</w:t>
      </w:r>
    </w:p>
    <w:p w14:paraId="5A06CE20" w14:textId="77777777" w:rsidR="00306B91" w:rsidRPr="00306B91" w:rsidRDefault="00306B91"/>
    <w:p w14:paraId="3977FD21" w14:textId="7847DF49" w:rsidR="00906705" w:rsidRDefault="00906705">
      <w:pPr>
        <w:rPr>
          <w:b/>
          <w:bCs/>
        </w:rPr>
      </w:pPr>
      <w:r>
        <w:rPr>
          <w:b/>
          <w:bCs/>
        </w:rPr>
        <w:t>EOP</w:t>
      </w:r>
      <w:r w:rsidR="00EF36E3">
        <w:rPr>
          <w:b/>
          <w:bCs/>
        </w:rPr>
        <w:t>/NextGen</w:t>
      </w:r>
      <w:r>
        <w:rPr>
          <w:b/>
          <w:bCs/>
        </w:rPr>
        <w:t xml:space="preserve"> Specific</w:t>
      </w:r>
    </w:p>
    <w:p w14:paraId="36A9241C" w14:textId="6F52C71E" w:rsidR="00906705" w:rsidRDefault="00C725B3" w:rsidP="004F3E54">
      <w:pPr>
        <w:pStyle w:val="ListParagraph"/>
        <w:numPr>
          <w:ilvl w:val="0"/>
          <w:numId w:val="28"/>
        </w:numPr>
      </w:pPr>
      <w:r>
        <w:t xml:space="preserve">I enrolled a </w:t>
      </w:r>
      <w:r w:rsidR="00475AD3">
        <w:t>participant</w:t>
      </w:r>
      <w:r>
        <w:t xml:space="preserve"> in P10k, and now their EOP</w:t>
      </w:r>
      <w:r w:rsidR="00EF36E3">
        <w:t>/NextGen</w:t>
      </w:r>
      <w:r>
        <w:t xml:space="preserve"> record is in Follow-</w:t>
      </w:r>
      <w:r w:rsidR="00C46A6D">
        <w:t>U</w:t>
      </w:r>
      <w:r>
        <w:t>p. How do I copy services to the P10k record?</w:t>
      </w:r>
    </w:p>
    <w:p w14:paraId="11DB0F01" w14:textId="506DD104" w:rsidR="00906705" w:rsidRDefault="00C725B3" w:rsidP="004F3E54">
      <w:pPr>
        <w:pStyle w:val="ListParagraph"/>
        <w:numPr>
          <w:ilvl w:val="0"/>
          <w:numId w:val="29"/>
        </w:numPr>
      </w:pPr>
      <w:r>
        <w:t>Follow-</w:t>
      </w:r>
      <w:r w:rsidR="00C46A6D">
        <w:t>U</w:t>
      </w:r>
      <w:r>
        <w:t xml:space="preserve">p services have been set up with the “copy to” function in I-Trac. </w:t>
      </w:r>
      <w:r w:rsidR="00660CFC">
        <w:t xml:space="preserve">This is a </w:t>
      </w:r>
      <w:r w:rsidR="00515A6B">
        <w:t xml:space="preserve">recent </w:t>
      </w:r>
      <w:r w:rsidR="00B7632F">
        <w:t>update to the original I-Trac</w:t>
      </w:r>
      <w:r w:rsidR="003C7BBE">
        <w:t xml:space="preserve"> record build. </w:t>
      </w:r>
      <w:r>
        <w:t xml:space="preserve">If the </w:t>
      </w:r>
      <w:r w:rsidR="00475AD3">
        <w:t>participant</w:t>
      </w:r>
      <w:r>
        <w:t xml:space="preserve"> has completed a training service, or obtained employment, you should consider exiting them from P10k.</w:t>
      </w:r>
      <w:r w:rsidR="00972B54">
        <w:t xml:space="preserve"> </w:t>
      </w:r>
    </w:p>
    <w:p w14:paraId="1BDB621F" w14:textId="77777777" w:rsidR="00906705" w:rsidRDefault="00906705" w:rsidP="00906705">
      <w:pPr>
        <w:pStyle w:val="ListParagraph"/>
      </w:pPr>
    </w:p>
    <w:p w14:paraId="4A50010C" w14:textId="5B8A5E45" w:rsidR="00906705" w:rsidRDefault="00B074F4" w:rsidP="004F3E54">
      <w:pPr>
        <w:pStyle w:val="ListParagraph"/>
        <w:numPr>
          <w:ilvl w:val="0"/>
          <w:numId w:val="28"/>
        </w:numPr>
      </w:pPr>
      <w:r>
        <w:t xml:space="preserve">I have a </w:t>
      </w:r>
      <w:r w:rsidR="00E34B9B">
        <w:t>participant</w:t>
      </w:r>
      <w:r>
        <w:t xml:space="preserve"> who</w:t>
      </w:r>
      <w:r w:rsidR="00EC2FB1">
        <w:t xml:space="preserve"> was already employed and </w:t>
      </w:r>
      <w:r w:rsidR="00D348D5">
        <w:t>receiving</w:t>
      </w:r>
      <w:r w:rsidR="00EC2FB1">
        <w:t xml:space="preserve"> follow-up </w:t>
      </w:r>
      <w:r w:rsidR="00D348D5">
        <w:t xml:space="preserve">services </w:t>
      </w:r>
      <w:r w:rsidR="00EC2FB1">
        <w:t>at the beginning of the program year. Should I still enroll them in P10k?</w:t>
      </w:r>
    </w:p>
    <w:p w14:paraId="5664357A" w14:textId="4227AE9A" w:rsidR="00906705" w:rsidRDefault="00ED2045" w:rsidP="006F75D8">
      <w:pPr>
        <w:pStyle w:val="ListParagraph"/>
        <w:numPr>
          <w:ilvl w:val="0"/>
          <w:numId w:val="29"/>
        </w:numPr>
      </w:pPr>
      <w:r>
        <w:t xml:space="preserve">Since </w:t>
      </w:r>
      <w:proofErr w:type="gramStart"/>
      <w:r>
        <w:t>a primary</w:t>
      </w:r>
      <w:proofErr w:type="gramEnd"/>
      <w:r>
        <w:t xml:space="preserve"> goal of P10k is participant employment</w:t>
      </w:r>
      <w:r w:rsidR="001023C0">
        <w:t xml:space="preserve">, it does not make sense to enroll a participant who is already employed. We would not </w:t>
      </w:r>
      <w:r w:rsidR="00010120">
        <w:t>get any performance outcome for that enrollment.</w:t>
      </w:r>
    </w:p>
    <w:p w14:paraId="490096E1" w14:textId="77777777" w:rsidR="00906705" w:rsidRDefault="00906705">
      <w:pPr>
        <w:rPr>
          <w:b/>
          <w:bCs/>
        </w:rPr>
      </w:pPr>
    </w:p>
    <w:p w14:paraId="25CCF37B" w14:textId="77777777" w:rsidR="00906705" w:rsidRPr="003356AE" w:rsidRDefault="00906705">
      <w:pPr>
        <w:rPr>
          <w:b/>
          <w:bCs/>
        </w:rPr>
      </w:pPr>
    </w:p>
    <w:sectPr w:rsidR="00906705" w:rsidRPr="003356AE" w:rsidSect="00254E33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6C1C" w14:textId="77777777" w:rsidR="00D250F4" w:rsidRDefault="00D250F4" w:rsidP="003356AE">
      <w:pPr>
        <w:spacing w:after="0" w:line="240" w:lineRule="auto"/>
      </w:pPr>
      <w:r>
        <w:separator/>
      </w:r>
    </w:p>
  </w:endnote>
  <w:endnote w:type="continuationSeparator" w:id="0">
    <w:p w14:paraId="7327806B" w14:textId="77777777" w:rsidR="00D250F4" w:rsidRDefault="00D250F4" w:rsidP="003356AE">
      <w:pPr>
        <w:spacing w:after="0" w:line="240" w:lineRule="auto"/>
      </w:pPr>
      <w:r>
        <w:continuationSeparator/>
      </w:r>
    </w:p>
  </w:endnote>
  <w:endnote w:type="continuationNotice" w:id="1">
    <w:p w14:paraId="538D1CA7" w14:textId="77777777" w:rsidR="00D250F4" w:rsidRDefault="00D25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FFA0" w14:textId="77777777" w:rsidR="00D250F4" w:rsidRDefault="00D250F4" w:rsidP="003356AE">
      <w:pPr>
        <w:spacing w:after="0" w:line="240" w:lineRule="auto"/>
      </w:pPr>
      <w:r>
        <w:separator/>
      </w:r>
    </w:p>
  </w:footnote>
  <w:footnote w:type="continuationSeparator" w:id="0">
    <w:p w14:paraId="1E35035F" w14:textId="77777777" w:rsidR="00D250F4" w:rsidRDefault="00D250F4" w:rsidP="003356AE">
      <w:pPr>
        <w:spacing w:after="0" w:line="240" w:lineRule="auto"/>
      </w:pPr>
      <w:r>
        <w:continuationSeparator/>
      </w:r>
    </w:p>
  </w:footnote>
  <w:footnote w:type="continuationNotice" w:id="1">
    <w:p w14:paraId="0C7F7BBF" w14:textId="77777777" w:rsidR="00D250F4" w:rsidRDefault="00D250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1976" w14:textId="3DE9C971" w:rsidR="003356AE" w:rsidRDefault="003356AE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Prosperity 10,000</w:t>
    </w:r>
  </w:p>
  <w:p w14:paraId="4CE1B696" w14:textId="52A93995" w:rsidR="003356AE" w:rsidRDefault="003356AE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Frequently Asked Questions</w:t>
    </w:r>
  </w:p>
  <w:p w14:paraId="4112E4C4" w14:textId="3C183F44" w:rsidR="003356AE" w:rsidRPr="003356AE" w:rsidRDefault="00BB04CE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pict w14:anchorId="093FD5D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C8"/>
    <w:multiLevelType w:val="hybridMultilevel"/>
    <w:tmpl w:val="01521E8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AC0"/>
    <w:multiLevelType w:val="hybridMultilevel"/>
    <w:tmpl w:val="A7CCC65E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30A"/>
    <w:multiLevelType w:val="hybridMultilevel"/>
    <w:tmpl w:val="E140E79A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7780F"/>
    <w:multiLevelType w:val="hybridMultilevel"/>
    <w:tmpl w:val="3B1CEE4C"/>
    <w:lvl w:ilvl="0" w:tplc="8F52CA00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21D"/>
    <w:multiLevelType w:val="hybridMultilevel"/>
    <w:tmpl w:val="0EE02C5A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A7468"/>
    <w:multiLevelType w:val="hybridMultilevel"/>
    <w:tmpl w:val="270A34AE"/>
    <w:lvl w:ilvl="0" w:tplc="BE346D74">
      <w:start w:val="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5B79"/>
    <w:multiLevelType w:val="hybridMultilevel"/>
    <w:tmpl w:val="1102E458"/>
    <w:lvl w:ilvl="0" w:tplc="9EFC9D7C">
      <w:start w:val="3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54CB5"/>
    <w:multiLevelType w:val="hybridMultilevel"/>
    <w:tmpl w:val="A7CCC65E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7233B"/>
    <w:multiLevelType w:val="hybridMultilevel"/>
    <w:tmpl w:val="8542A22A"/>
    <w:lvl w:ilvl="0" w:tplc="EDBA94E4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1EB2"/>
    <w:multiLevelType w:val="hybridMultilevel"/>
    <w:tmpl w:val="A144186C"/>
    <w:lvl w:ilvl="0" w:tplc="7570C27A">
      <w:start w:val="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5D68"/>
    <w:multiLevelType w:val="hybridMultilevel"/>
    <w:tmpl w:val="69963DD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642C8"/>
    <w:multiLevelType w:val="hybridMultilevel"/>
    <w:tmpl w:val="C9788DBA"/>
    <w:lvl w:ilvl="0" w:tplc="AABA461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D7C0B"/>
    <w:multiLevelType w:val="hybridMultilevel"/>
    <w:tmpl w:val="9342E988"/>
    <w:lvl w:ilvl="0" w:tplc="1FE880F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125A8"/>
    <w:multiLevelType w:val="hybridMultilevel"/>
    <w:tmpl w:val="B04CDC30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D517F"/>
    <w:multiLevelType w:val="hybridMultilevel"/>
    <w:tmpl w:val="54186E8E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78FD"/>
    <w:multiLevelType w:val="hybridMultilevel"/>
    <w:tmpl w:val="9F4A6B22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668F6"/>
    <w:multiLevelType w:val="hybridMultilevel"/>
    <w:tmpl w:val="341461C4"/>
    <w:lvl w:ilvl="0" w:tplc="1FE880F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67849482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7357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40A8"/>
    <w:multiLevelType w:val="hybridMultilevel"/>
    <w:tmpl w:val="83C45B0E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6394C"/>
    <w:multiLevelType w:val="hybridMultilevel"/>
    <w:tmpl w:val="ADD2BC70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1978"/>
    <w:multiLevelType w:val="hybridMultilevel"/>
    <w:tmpl w:val="8AC8AED8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2620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969B7"/>
    <w:multiLevelType w:val="hybridMultilevel"/>
    <w:tmpl w:val="9F529734"/>
    <w:lvl w:ilvl="0" w:tplc="9B92A04A">
      <w:start w:val="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C40DD"/>
    <w:multiLevelType w:val="hybridMultilevel"/>
    <w:tmpl w:val="3E1297CA"/>
    <w:lvl w:ilvl="0" w:tplc="FE72097A">
      <w:start w:val="3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F7689"/>
    <w:multiLevelType w:val="hybridMultilevel"/>
    <w:tmpl w:val="800254D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21797"/>
    <w:multiLevelType w:val="hybridMultilevel"/>
    <w:tmpl w:val="7E8AE294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B24F6"/>
    <w:multiLevelType w:val="hybridMultilevel"/>
    <w:tmpl w:val="5706EB2A"/>
    <w:lvl w:ilvl="0" w:tplc="648CAD64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6007A"/>
    <w:multiLevelType w:val="hybridMultilevel"/>
    <w:tmpl w:val="7E3C5BB4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1C8D"/>
    <w:multiLevelType w:val="hybridMultilevel"/>
    <w:tmpl w:val="21A87D62"/>
    <w:lvl w:ilvl="0" w:tplc="67849482">
      <w:start w:val="1"/>
      <w:numFmt w:val="decimal"/>
      <w:lvlText w:val="A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906893"/>
    <w:multiLevelType w:val="hybridMultilevel"/>
    <w:tmpl w:val="3B9E6A06"/>
    <w:lvl w:ilvl="0" w:tplc="67849482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787B47"/>
    <w:multiLevelType w:val="hybridMultilevel"/>
    <w:tmpl w:val="5CFE0886"/>
    <w:lvl w:ilvl="0" w:tplc="ED627546">
      <w:start w:val="7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E4ADF"/>
    <w:multiLevelType w:val="hybridMultilevel"/>
    <w:tmpl w:val="330E31E2"/>
    <w:lvl w:ilvl="0" w:tplc="883E3D76">
      <w:start w:val="7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90297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E28"/>
    <w:multiLevelType w:val="hybridMultilevel"/>
    <w:tmpl w:val="B9B8562E"/>
    <w:lvl w:ilvl="0" w:tplc="BB74E0AE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7A309C"/>
    <w:multiLevelType w:val="hybridMultilevel"/>
    <w:tmpl w:val="10D40D60"/>
    <w:lvl w:ilvl="0" w:tplc="56BC070C">
      <w:start w:val="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42E"/>
    <w:multiLevelType w:val="hybridMultilevel"/>
    <w:tmpl w:val="8DB852FE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272B2"/>
    <w:multiLevelType w:val="hybridMultilevel"/>
    <w:tmpl w:val="CBE0D94E"/>
    <w:lvl w:ilvl="0" w:tplc="0BCE351A">
      <w:start w:val="6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9496">
    <w:abstractNumId w:val="16"/>
  </w:num>
  <w:num w:numId="2" w16cid:durableId="1267275009">
    <w:abstractNumId w:val="33"/>
  </w:num>
  <w:num w:numId="3" w16cid:durableId="573902493">
    <w:abstractNumId w:val="11"/>
  </w:num>
  <w:num w:numId="4" w16cid:durableId="1051734703">
    <w:abstractNumId w:val="2"/>
  </w:num>
  <w:num w:numId="5" w16cid:durableId="902567244">
    <w:abstractNumId w:val="18"/>
  </w:num>
  <w:num w:numId="6" w16cid:durableId="233394496">
    <w:abstractNumId w:val="12"/>
  </w:num>
  <w:num w:numId="7" w16cid:durableId="1366557952">
    <w:abstractNumId w:val="19"/>
  </w:num>
  <w:num w:numId="8" w16cid:durableId="1093824278">
    <w:abstractNumId w:val="21"/>
  </w:num>
  <w:num w:numId="9" w16cid:durableId="542518266">
    <w:abstractNumId w:val="35"/>
  </w:num>
  <w:num w:numId="10" w16cid:durableId="96488804">
    <w:abstractNumId w:val="32"/>
  </w:num>
  <w:num w:numId="11" w16cid:durableId="2044943550">
    <w:abstractNumId w:val="7"/>
  </w:num>
  <w:num w:numId="12" w16cid:durableId="1126192701">
    <w:abstractNumId w:val="20"/>
  </w:num>
  <w:num w:numId="13" w16cid:durableId="1724671331">
    <w:abstractNumId w:val="23"/>
  </w:num>
  <w:num w:numId="14" w16cid:durableId="1747533039">
    <w:abstractNumId w:val="27"/>
  </w:num>
  <w:num w:numId="15" w16cid:durableId="2115787878">
    <w:abstractNumId w:val="34"/>
  </w:num>
  <w:num w:numId="16" w16cid:durableId="134031346">
    <w:abstractNumId w:val="15"/>
  </w:num>
  <w:num w:numId="17" w16cid:durableId="6448703">
    <w:abstractNumId w:val="25"/>
  </w:num>
  <w:num w:numId="18" w16cid:durableId="1121070462">
    <w:abstractNumId w:val="36"/>
  </w:num>
  <w:num w:numId="19" w16cid:durableId="1152329886">
    <w:abstractNumId w:val="29"/>
  </w:num>
  <w:num w:numId="20" w16cid:durableId="5793957">
    <w:abstractNumId w:val="28"/>
  </w:num>
  <w:num w:numId="21" w16cid:durableId="99571004">
    <w:abstractNumId w:val="13"/>
  </w:num>
  <w:num w:numId="22" w16cid:durableId="694885927">
    <w:abstractNumId w:val="5"/>
  </w:num>
  <w:num w:numId="23" w16cid:durableId="917405324">
    <w:abstractNumId w:val="8"/>
  </w:num>
  <w:num w:numId="24" w16cid:durableId="1240361146">
    <w:abstractNumId w:val="30"/>
  </w:num>
  <w:num w:numId="25" w16cid:durableId="406616846">
    <w:abstractNumId w:val="14"/>
  </w:num>
  <w:num w:numId="26" w16cid:durableId="409623366">
    <w:abstractNumId w:val="24"/>
  </w:num>
  <w:num w:numId="27" w16cid:durableId="386805268">
    <w:abstractNumId w:val="31"/>
  </w:num>
  <w:num w:numId="28" w16cid:durableId="811825481">
    <w:abstractNumId w:val="17"/>
  </w:num>
  <w:num w:numId="29" w16cid:durableId="184637558">
    <w:abstractNumId w:val="1"/>
  </w:num>
  <w:num w:numId="30" w16cid:durableId="1014921389">
    <w:abstractNumId w:val="26"/>
  </w:num>
  <w:num w:numId="31" w16cid:durableId="553084334">
    <w:abstractNumId w:val="10"/>
  </w:num>
  <w:num w:numId="32" w16cid:durableId="339279958">
    <w:abstractNumId w:val="6"/>
  </w:num>
  <w:num w:numId="33" w16cid:durableId="228922685">
    <w:abstractNumId w:val="3"/>
  </w:num>
  <w:num w:numId="34" w16cid:durableId="672803799">
    <w:abstractNumId w:val="0"/>
  </w:num>
  <w:num w:numId="35" w16cid:durableId="1333949836">
    <w:abstractNumId w:val="22"/>
  </w:num>
  <w:num w:numId="36" w16cid:durableId="349262339">
    <w:abstractNumId w:val="4"/>
  </w:num>
  <w:num w:numId="37" w16cid:durableId="866673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E"/>
    <w:rsid w:val="000001A7"/>
    <w:rsid w:val="00010120"/>
    <w:rsid w:val="000239B6"/>
    <w:rsid w:val="00026763"/>
    <w:rsid w:val="00027127"/>
    <w:rsid w:val="00043C94"/>
    <w:rsid w:val="000657CF"/>
    <w:rsid w:val="00071656"/>
    <w:rsid w:val="00097DFF"/>
    <w:rsid w:val="000A3352"/>
    <w:rsid w:val="000B774F"/>
    <w:rsid w:val="000B7AE0"/>
    <w:rsid w:val="000D1762"/>
    <w:rsid w:val="000D2580"/>
    <w:rsid w:val="000D324A"/>
    <w:rsid w:val="000D7AFC"/>
    <w:rsid w:val="001023C0"/>
    <w:rsid w:val="00103C21"/>
    <w:rsid w:val="00123997"/>
    <w:rsid w:val="00125B4A"/>
    <w:rsid w:val="00140AB6"/>
    <w:rsid w:val="00142FED"/>
    <w:rsid w:val="00144C7D"/>
    <w:rsid w:val="001634A1"/>
    <w:rsid w:val="00172CAA"/>
    <w:rsid w:val="00180C0C"/>
    <w:rsid w:val="001875FB"/>
    <w:rsid w:val="001A0F79"/>
    <w:rsid w:val="001A1B91"/>
    <w:rsid w:val="001B22F1"/>
    <w:rsid w:val="001D7F43"/>
    <w:rsid w:val="00240CDA"/>
    <w:rsid w:val="00250EA2"/>
    <w:rsid w:val="00254E33"/>
    <w:rsid w:val="00262292"/>
    <w:rsid w:val="00286753"/>
    <w:rsid w:val="002A323D"/>
    <w:rsid w:val="002A6C4C"/>
    <w:rsid w:val="002B0F87"/>
    <w:rsid w:val="002B359F"/>
    <w:rsid w:val="002C59C7"/>
    <w:rsid w:val="002E2C43"/>
    <w:rsid w:val="002F5FC1"/>
    <w:rsid w:val="003038BE"/>
    <w:rsid w:val="00304C45"/>
    <w:rsid w:val="00306B91"/>
    <w:rsid w:val="003103C6"/>
    <w:rsid w:val="003356AE"/>
    <w:rsid w:val="003535B5"/>
    <w:rsid w:val="00380E9E"/>
    <w:rsid w:val="003A7359"/>
    <w:rsid w:val="003C7BBE"/>
    <w:rsid w:val="003E7499"/>
    <w:rsid w:val="0040287E"/>
    <w:rsid w:val="0041359B"/>
    <w:rsid w:val="0043682E"/>
    <w:rsid w:val="00452773"/>
    <w:rsid w:val="0045786B"/>
    <w:rsid w:val="00475AD3"/>
    <w:rsid w:val="00475C77"/>
    <w:rsid w:val="0047697F"/>
    <w:rsid w:val="00476A73"/>
    <w:rsid w:val="004C397F"/>
    <w:rsid w:val="004E5B5D"/>
    <w:rsid w:val="004E7D44"/>
    <w:rsid w:val="004F3E54"/>
    <w:rsid w:val="00513BBE"/>
    <w:rsid w:val="00515A6B"/>
    <w:rsid w:val="00524CCB"/>
    <w:rsid w:val="00526AAE"/>
    <w:rsid w:val="00534F5A"/>
    <w:rsid w:val="005375A8"/>
    <w:rsid w:val="00540C65"/>
    <w:rsid w:val="005541CF"/>
    <w:rsid w:val="00554E50"/>
    <w:rsid w:val="00557562"/>
    <w:rsid w:val="00561C5F"/>
    <w:rsid w:val="005622BE"/>
    <w:rsid w:val="00567256"/>
    <w:rsid w:val="00571D6B"/>
    <w:rsid w:val="00576362"/>
    <w:rsid w:val="005B7D5E"/>
    <w:rsid w:val="005C3C83"/>
    <w:rsid w:val="005C61EA"/>
    <w:rsid w:val="005C78AA"/>
    <w:rsid w:val="005D64D5"/>
    <w:rsid w:val="00603D20"/>
    <w:rsid w:val="00604E86"/>
    <w:rsid w:val="00605415"/>
    <w:rsid w:val="00606A4E"/>
    <w:rsid w:val="00617F63"/>
    <w:rsid w:val="0062114A"/>
    <w:rsid w:val="00623BDF"/>
    <w:rsid w:val="00651551"/>
    <w:rsid w:val="00660CFC"/>
    <w:rsid w:val="00662623"/>
    <w:rsid w:val="00662C2A"/>
    <w:rsid w:val="00663B05"/>
    <w:rsid w:val="00674AC7"/>
    <w:rsid w:val="00676A0F"/>
    <w:rsid w:val="00692A91"/>
    <w:rsid w:val="006931AB"/>
    <w:rsid w:val="006B684D"/>
    <w:rsid w:val="006E7675"/>
    <w:rsid w:val="006F75D8"/>
    <w:rsid w:val="00721F08"/>
    <w:rsid w:val="0073317B"/>
    <w:rsid w:val="00734584"/>
    <w:rsid w:val="00735944"/>
    <w:rsid w:val="00777141"/>
    <w:rsid w:val="007A3B74"/>
    <w:rsid w:val="007B2551"/>
    <w:rsid w:val="007B39CB"/>
    <w:rsid w:val="007B3A29"/>
    <w:rsid w:val="007D0307"/>
    <w:rsid w:val="007D6919"/>
    <w:rsid w:val="008016B4"/>
    <w:rsid w:val="0081430E"/>
    <w:rsid w:val="00845587"/>
    <w:rsid w:val="008716BF"/>
    <w:rsid w:val="00872F01"/>
    <w:rsid w:val="0087332C"/>
    <w:rsid w:val="00873383"/>
    <w:rsid w:val="00884FF0"/>
    <w:rsid w:val="008A6BC9"/>
    <w:rsid w:val="008C7C2C"/>
    <w:rsid w:val="008D7C82"/>
    <w:rsid w:val="008E0BC5"/>
    <w:rsid w:val="008E1D1D"/>
    <w:rsid w:val="008F7E88"/>
    <w:rsid w:val="0090628E"/>
    <w:rsid w:val="00906705"/>
    <w:rsid w:val="009265B0"/>
    <w:rsid w:val="009304D2"/>
    <w:rsid w:val="009419F9"/>
    <w:rsid w:val="009637E8"/>
    <w:rsid w:val="00972B54"/>
    <w:rsid w:val="009B2DC6"/>
    <w:rsid w:val="009C67FC"/>
    <w:rsid w:val="009C7DCD"/>
    <w:rsid w:val="009D22D3"/>
    <w:rsid w:val="009E0D6C"/>
    <w:rsid w:val="009E1CE9"/>
    <w:rsid w:val="009E6DDD"/>
    <w:rsid w:val="009F343B"/>
    <w:rsid w:val="00A03CA7"/>
    <w:rsid w:val="00A25DA9"/>
    <w:rsid w:val="00A35323"/>
    <w:rsid w:val="00A36647"/>
    <w:rsid w:val="00A43695"/>
    <w:rsid w:val="00A81F4B"/>
    <w:rsid w:val="00A95690"/>
    <w:rsid w:val="00AA092F"/>
    <w:rsid w:val="00AA59D0"/>
    <w:rsid w:val="00AF2D20"/>
    <w:rsid w:val="00B00742"/>
    <w:rsid w:val="00B036F4"/>
    <w:rsid w:val="00B074F4"/>
    <w:rsid w:val="00B10370"/>
    <w:rsid w:val="00B164CE"/>
    <w:rsid w:val="00B17B90"/>
    <w:rsid w:val="00B343C6"/>
    <w:rsid w:val="00B35447"/>
    <w:rsid w:val="00B46071"/>
    <w:rsid w:val="00B479AC"/>
    <w:rsid w:val="00B655BE"/>
    <w:rsid w:val="00B72E19"/>
    <w:rsid w:val="00B7632F"/>
    <w:rsid w:val="00B91731"/>
    <w:rsid w:val="00BA412F"/>
    <w:rsid w:val="00BB04CE"/>
    <w:rsid w:val="00C30ADA"/>
    <w:rsid w:val="00C46A6D"/>
    <w:rsid w:val="00C552C9"/>
    <w:rsid w:val="00C725B3"/>
    <w:rsid w:val="00C91BE6"/>
    <w:rsid w:val="00C929D1"/>
    <w:rsid w:val="00CA0771"/>
    <w:rsid w:val="00CA1FD3"/>
    <w:rsid w:val="00CB2578"/>
    <w:rsid w:val="00CB7220"/>
    <w:rsid w:val="00CC3AD3"/>
    <w:rsid w:val="00CC3C94"/>
    <w:rsid w:val="00CD07EA"/>
    <w:rsid w:val="00D250F4"/>
    <w:rsid w:val="00D348D5"/>
    <w:rsid w:val="00D35EA8"/>
    <w:rsid w:val="00D368FC"/>
    <w:rsid w:val="00D37048"/>
    <w:rsid w:val="00D56E2F"/>
    <w:rsid w:val="00D61B81"/>
    <w:rsid w:val="00D948A7"/>
    <w:rsid w:val="00D96776"/>
    <w:rsid w:val="00DB667D"/>
    <w:rsid w:val="00DC10FF"/>
    <w:rsid w:val="00DD0B45"/>
    <w:rsid w:val="00E34B9B"/>
    <w:rsid w:val="00E718E4"/>
    <w:rsid w:val="00E72A81"/>
    <w:rsid w:val="00E87639"/>
    <w:rsid w:val="00EA2D56"/>
    <w:rsid w:val="00EC2852"/>
    <w:rsid w:val="00EC2FB1"/>
    <w:rsid w:val="00EC48BC"/>
    <w:rsid w:val="00EC6610"/>
    <w:rsid w:val="00ED2045"/>
    <w:rsid w:val="00EE3A17"/>
    <w:rsid w:val="00EF19D8"/>
    <w:rsid w:val="00EF36E3"/>
    <w:rsid w:val="00F10457"/>
    <w:rsid w:val="00F21CAF"/>
    <w:rsid w:val="00F328DD"/>
    <w:rsid w:val="00F35004"/>
    <w:rsid w:val="00F422FC"/>
    <w:rsid w:val="00F7244B"/>
    <w:rsid w:val="00F904EF"/>
    <w:rsid w:val="00F92B80"/>
    <w:rsid w:val="00F97EC6"/>
    <w:rsid w:val="00FC1965"/>
    <w:rsid w:val="00FE4FE6"/>
    <w:rsid w:val="048AC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4146"/>
  <w15:chartTrackingRefBased/>
  <w15:docId w15:val="{4541B184-FBD4-41B8-89A3-9E66C27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AE"/>
  </w:style>
  <w:style w:type="paragraph" w:styleId="Footer">
    <w:name w:val="footer"/>
    <w:basedOn w:val="Normal"/>
    <w:link w:val="FooterChar"/>
    <w:uiPriority w:val="99"/>
    <w:unhideWhenUsed/>
    <w:rsid w:val="003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AE"/>
  </w:style>
  <w:style w:type="paragraph" w:styleId="ListParagraph">
    <w:name w:val="List Paragraph"/>
    <w:basedOn w:val="Normal"/>
    <w:uiPriority w:val="34"/>
    <w:qFormat/>
    <w:rsid w:val="003356AE"/>
    <w:pPr>
      <w:ind w:left="720"/>
      <w:contextualSpacing/>
    </w:pPr>
  </w:style>
  <w:style w:type="paragraph" w:styleId="Revision">
    <w:name w:val="Revision"/>
    <w:hidden/>
    <w:uiPriority w:val="99"/>
    <w:semiHidden/>
    <w:rsid w:val="00884F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2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2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626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4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Finnegan</dc:creator>
  <cp:keywords/>
  <dc:description/>
  <cp:lastModifiedBy>Ernesta Ingeleviciute</cp:lastModifiedBy>
  <cp:revision>2</cp:revision>
  <dcterms:created xsi:type="dcterms:W3CDTF">2023-03-06T20:03:00Z</dcterms:created>
  <dcterms:modified xsi:type="dcterms:W3CDTF">2023-03-06T20:03:00Z</dcterms:modified>
</cp:coreProperties>
</file>